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2DFB" w14:textId="36902E51" w:rsidR="00363E4B" w:rsidRPr="0013231B" w:rsidRDefault="0013231B" w:rsidP="0013231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13231B">
        <w:rPr>
          <w:rFonts w:cs="B Nazanin" w:hint="cs"/>
          <w:b/>
          <w:bCs/>
          <w:sz w:val="28"/>
          <w:szCs w:val="28"/>
          <w:rtl/>
          <w:lang w:bidi="fa-IR"/>
        </w:rPr>
        <w:t>مصوبات شورای پژوهشی دانشگاه خارج از آئین نامه</w:t>
      </w:r>
      <w:r w:rsidRPr="0013231B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3231B">
        <w:rPr>
          <w:rFonts w:cs="B Nazanin" w:hint="cs"/>
          <w:b/>
          <w:bCs/>
          <w:sz w:val="28"/>
          <w:szCs w:val="28"/>
          <w:rtl/>
          <w:lang w:bidi="fa-IR"/>
        </w:rPr>
        <w:t>های موجود</w:t>
      </w:r>
    </w:p>
    <w:p w14:paraId="37B72DFB" w14:textId="77777777" w:rsidR="002879B1" w:rsidRPr="0013231B" w:rsidRDefault="002879B1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096BB713" w14:textId="5BC281DA" w:rsidR="00363E4B" w:rsidRPr="0013231B" w:rsidRDefault="00363E4B" w:rsidP="0013231B">
      <w:pPr>
        <w:pStyle w:val="ListParagraph"/>
        <w:numPr>
          <w:ilvl w:val="0"/>
          <w:numId w:val="2"/>
        </w:numPr>
        <w:bidi/>
        <w:ind w:left="0"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در خصوص امتیازدهی به فعالیت</w:t>
      </w:r>
      <w:r w:rsidRPr="0013231B">
        <w:rPr>
          <w:rFonts w:cs="B Nazanin" w:hint="cs"/>
          <w:sz w:val="26"/>
          <w:szCs w:val="26"/>
          <w:rtl/>
          <w:lang w:bidi="fa-IR"/>
        </w:rPr>
        <w:softHyphen/>
        <w:t>های فناورانه اعضای هیأت علمی در فرآیند ترفیع سالیانه (ردیف 25 جدول 4 دستورالعمل اعطای ترفیع سالیانه اعضای هیأت علمی دانشگاه) موارد زیر به تصویب رسید: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17"/>
        <w:gridCol w:w="959"/>
      </w:tblGrid>
      <w:tr w:rsidR="00363E4B" w:rsidRPr="0013231B" w14:paraId="327AA832" w14:textId="77777777" w:rsidTr="00363E4B">
        <w:tc>
          <w:tcPr>
            <w:tcW w:w="8617" w:type="dxa"/>
          </w:tcPr>
          <w:p w14:paraId="045B12EC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فعالیت</w:t>
            </w:r>
          </w:p>
        </w:tc>
        <w:tc>
          <w:tcPr>
            <w:tcW w:w="959" w:type="dxa"/>
          </w:tcPr>
          <w:p w14:paraId="34F191FF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363E4B" w:rsidRPr="0013231B" w14:paraId="717F4565" w14:textId="77777777" w:rsidTr="00363E4B">
        <w:tc>
          <w:tcPr>
            <w:tcW w:w="8617" w:type="dxa"/>
          </w:tcPr>
          <w:p w14:paraId="269367B9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اختراع، اکتشاف و تولید محصولات پژوهشی کاربردی ثبت شده در مراجع قانونی کشور(گواهی ثبت اختراع سازمان ثبت اسناد و املاک کشور)</w:t>
            </w:r>
          </w:p>
        </w:tc>
        <w:tc>
          <w:tcPr>
            <w:tcW w:w="959" w:type="dxa"/>
          </w:tcPr>
          <w:p w14:paraId="7FFEEAB6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5/3</w:t>
            </w:r>
          </w:p>
        </w:tc>
      </w:tr>
      <w:tr w:rsidR="00363E4B" w:rsidRPr="0013231B" w14:paraId="71225D29" w14:textId="77777777" w:rsidTr="00363E4B">
        <w:tc>
          <w:tcPr>
            <w:tcW w:w="8617" w:type="dxa"/>
          </w:tcPr>
          <w:p w14:paraId="3A962881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مدل</w:t>
            </w: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سازی وسایل پزشکی و آزمایشگاهی و ساخت هر قطعه که منجر به تولید دستگاه شود، با گواهی اداره کل تجهیزات پزشکی وزارت بهداشت و تأیید هیأت ممیزه مرکزی وزارت بهداشت</w:t>
            </w:r>
          </w:p>
        </w:tc>
        <w:tc>
          <w:tcPr>
            <w:tcW w:w="959" w:type="dxa"/>
          </w:tcPr>
          <w:p w14:paraId="2D9CBD99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363E4B" w:rsidRPr="0013231B" w14:paraId="5D182978" w14:textId="77777777" w:rsidTr="00363E4B">
        <w:tc>
          <w:tcPr>
            <w:tcW w:w="8617" w:type="dxa"/>
          </w:tcPr>
          <w:p w14:paraId="4E5CF224" w14:textId="77777777" w:rsidR="00363E4B" w:rsidRPr="0013231B" w:rsidRDefault="00B875C3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اختراع، اکتشاف و تولید محصولات پژوهشی کاربردی ثبت شده در مراجع قانونی کشور با تأییدیه علمی از مراجع ذیصلاح وزارتین</w:t>
            </w:r>
          </w:p>
        </w:tc>
        <w:tc>
          <w:tcPr>
            <w:tcW w:w="959" w:type="dxa"/>
          </w:tcPr>
          <w:p w14:paraId="5EC23FD8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363E4B" w:rsidRPr="0013231B" w14:paraId="226FB278" w14:textId="77777777" w:rsidTr="00363E4B">
        <w:tc>
          <w:tcPr>
            <w:tcW w:w="8617" w:type="dxa"/>
          </w:tcPr>
          <w:p w14:paraId="02FBBEEF" w14:textId="77777777" w:rsidR="00363E4B" w:rsidRPr="0013231B" w:rsidRDefault="00C0532A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تولید مواد برای آزمایشهای پزشکی و تولیدات دارویی جدید از طریق مهندسی معکوس، به ترتیب با گواهی معاونت درمان یا معاونت غذا و داروی وزارت بهداشت (حسب مورد) و تأیید هیأت ممیزه مرکزی وزارت بهداشت</w:t>
            </w:r>
          </w:p>
        </w:tc>
        <w:tc>
          <w:tcPr>
            <w:tcW w:w="959" w:type="dxa"/>
          </w:tcPr>
          <w:p w14:paraId="0ED87E3D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363E4B" w:rsidRPr="0013231B" w14:paraId="1A2BBC97" w14:textId="77777777" w:rsidTr="00363E4B">
        <w:tc>
          <w:tcPr>
            <w:tcW w:w="8617" w:type="dxa"/>
          </w:tcPr>
          <w:p w14:paraId="321E7AF0" w14:textId="77777777" w:rsidR="00363E4B" w:rsidRPr="0013231B" w:rsidRDefault="009C3092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اختراع، اکتشاف و تولید محصولات پژوهشی کاربردی ثبت شده بین المللی(پتنت)</w:t>
            </w:r>
          </w:p>
        </w:tc>
        <w:tc>
          <w:tcPr>
            <w:tcW w:w="959" w:type="dxa"/>
          </w:tcPr>
          <w:p w14:paraId="565F1EC1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363E4B" w:rsidRPr="0013231B" w14:paraId="7DA7C460" w14:textId="77777777" w:rsidTr="00363E4B">
        <w:tc>
          <w:tcPr>
            <w:tcW w:w="8617" w:type="dxa"/>
          </w:tcPr>
          <w:p w14:paraId="1AEEA49B" w14:textId="77777777" w:rsidR="00363E4B" w:rsidRPr="0013231B" w:rsidRDefault="009C3092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ثبت مالکیت فکری دستاوردهای پژوهشی و فناوری به نام مؤسسه محل خدمت متقاضی، به شرط اینکه به فروش رسیده و یا به صورت تحت لیسانس از آن استفاده شده باشد.</w:t>
            </w:r>
          </w:p>
        </w:tc>
        <w:tc>
          <w:tcPr>
            <w:tcW w:w="959" w:type="dxa"/>
          </w:tcPr>
          <w:p w14:paraId="502D872E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</w:tr>
      <w:tr w:rsidR="00363E4B" w:rsidRPr="0013231B" w14:paraId="3792953C" w14:textId="77777777" w:rsidTr="00363E4B">
        <w:tc>
          <w:tcPr>
            <w:tcW w:w="8617" w:type="dxa"/>
          </w:tcPr>
          <w:p w14:paraId="2825A0D2" w14:textId="77777777" w:rsidR="00363E4B" w:rsidRPr="0013231B" w:rsidRDefault="009C3092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اختراع، اکتشاف و تولید محصولات پژوهشی کاربردی ثبت شده و دستاوردهای فناورانه که در چارچوب پژوهش</w:t>
            </w: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کاربردی، پایان نامه</w:t>
            </w: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 و رساله</w:t>
            </w: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دکتری با رعایت مالکیت فکری در قالب شرکت دانش</w:t>
            </w: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بنیان یا شرکت دانشگاهی مراحل تجاری</w:t>
            </w: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سازی آن با تأیید مراجع مربوطه به انجام رسیده باشد.</w:t>
            </w:r>
          </w:p>
        </w:tc>
        <w:tc>
          <w:tcPr>
            <w:tcW w:w="959" w:type="dxa"/>
          </w:tcPr>
          <w:p w14:paraId="46975B33" w14:textId="77777777" w:rsidR="00363E4B" w:rsidRPr="0013231B" w:rsidRDefault="00363E4B" w:rsidP="001323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3231B"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</w:tr>
    </w:tbl>
    <w:p w14:paraId="0D73F33F" w14:textId="77777777" w:rsidR="00363E4B" w:rsidRPr="0013231B" w:rsidRDefault="00363E4B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4476033" w14:textId="77777777" w:rsidR="00B13CF6" w:rsidRPr="0013231B" w:rsidRDefault="00B13CF6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همچنین در خصوص درصد مشارکت همکاران در فعالیت</w:t>
      </w:r>
      <w:r w:rsidRPr="0013231B">
        <w:rPr>
          <w:rFonts w:cs="B Nazanin" w:hint="cs"/>
          <w:sz w:val="26"/>
          <w:szCs w:val="26"/>
          <w:rtl/>
          <w:lang w:bidi="fa-IR"/>
        </w:rPr>
        <w:softHyphen/>
        <w:t>های فناورانه مقرر گردید که ابتدا مطابق جدول  2 شیوه نامه اجرایی آیین نامه</w:t>
      </w:r>
      <w:r w:rsidRPr="0013231B">
        <w:rPr>
          <w:rFonts w:cs="B Nazanin" w:hint="cs"/>
          <w:sz w:val="26"/>
          <w:szCs w:val="26"/>
          <w:rtl/>
          <w:lang w:bidi="fa-IR"/>
        </w:rPr>
        <w:softHyphen/>
        <w:t xml:space="preserve">ی ارتقا، ضریب مشارکت اعمال و سپس امتیاز کل فعالیت، به طور مساوی بین همکاران تقسیم شود. منظور از همکاران، پدیدآورندگان یا مخترعین هستند و مالکین جزء همکاران محسوب نمی شوند.به عنوان مثال چنانچه گواهی ثبت اختراعی دارای سه مخترع باشد، مطابق جدول  2 شیوه نامه اجرایی آئین نامه ارتقا ابتدا امتیاز 5/3 فعالیت در ضریب مشارکت 8/1 ضرب شده و سپس بر تعداد مخترعین تقسیم می شود. بنابراین در این مثال امتیاز تمام مخترعین مساوی و برابر </w:t>
      </w:r>
      <w:r w:rsidR="004D7056" w:rsidRPr="0013231B">
        <w:rPr>
          <w:rFonts w:cs="B Nazanin" w:hint="cs"/>
          <w:sz w:val="26"/>
          <w:szCs w:val="26"/>
          <w:rtl/>
          <w:lang w:bidi="fa-IR"/>
        </w:rPr>
        <w:t>1/2</w:t>
      </w:r>
      <w:r w:rsidRPr="0013231B">
        <w:rPr>
          <w:rFonts w:cs="B Nazanin" w:hint="cs"/>
          <w:sz w:val="26"/>
          <w:szCs w:val="26"/>
          <w:rtl/>
          <w:lang w:bidi="fa-IR"/>
        </w:rPr>
        <w:t>خواهد بود.</w:t>
      </w:r>
    </w:p>
    <w:p w14:paraId="314253BA" w14:textId="77777777" w:rsidR="00DE7AAD" w:rsidRPr="0013231B" w:rsidRDefault="00DE7AAD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B883E2E" w14:textId="03AB2B31" w:rsidR="001D4753" w:rsidRPr="0013231B" w:rsidRDefault="006872A5" w:rsidP="006872A5">
      <w:pPr>
        <w:bidi/>
        <w:ind w:left="-360"/>
        <w:jc w:val="both"/>
        <w:rPr>
          <w:rFonts w:cs="B Nazanin"/>
          <w:sz w:val="26"/>
          <w:szCs w:val="26"/>
          <w:rtl/>
          <w:lang w:bidi="fa-IR"/>
        </w:rPr>
      </w:pPr>
      <w:r w:rsidRPr="006872A5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lastRenderedPageBreak/>
        <w:t>2</w:t>
      </w:r>
      <w:r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-</w:t>
      </w:r>
      <w:r w:rsidRPr="006872A5">
        <w:rPr>
          <w:rFonts w:cs="B Nazanin" w:hint="cs"/>
          <w:color w:val="C00000"/>
          <w:sz w:val="26"/>
          <w:szCs w:val="26"/>
          <w:rtl/>
          <w:lang w:bidi="fa-IR"/>
        </w:rPr>
        <w:t xml:space="preserve">  </w:t>
      </w:r>
      <w:r w:rsidR="001D4753" w:rsidRPr="0013231B">
        <w:rPr>
          <w:rFonts w:cs="B Nazanin" w:hint="cs"/>
          <w:sz w:val="26"/>
          <w:szCs w:val="26"/>
          <w:rtl/>
          <w:lang w:bidi="fa-IR"/>
        </w:rPr>
        <w:t>امتیاز گزارش علمی طرحهای اینترنشیپ در ترفیع سالانه اعضای هیأت علمی برابر با 5/3 تعیین گردید.</w:t>
      </w:r>
    </w:p>
    <w:p w14:paraId="6C89A592" w14:textId="34FA27A9" w:rsidR="00417911" w:rsidRPr="009C7B4B" w:rsidRDefault="009C7B4B" w:rsidP="009C7B4B">
      <w:pPr>
        <w:bidi/>
        <w:spacing w:before="240" w:after="160" w:line="256" w:lineRule="auto"/>
        <w:ind w:left="-360"/>
        <w:jc w:val="both"/>
        <w:rPr>
          <w:rFonts w:cs="B Nazanin"/>
          <w:sz w:val="26"/>
          <w:szCs w:val="26"/>
          <w:rtl/>
          <w:lang w:bidi="fa-IR"/>
        </w:rPr>
      </w:pPr>
      <w:r w:rsidRPr="009C7B4B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3-</w:t>
      </w:r>
      <w:r w:rsidRPr="009C7B4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17911" w:rsidRPr="009C7B4B">
        <w:rPr>
          <w:rFonts w:cs="B Nazanin" w:hint="cs"/>
          <w:sz w:val="26"/>
          <w:szCs w:val="26"/>
          <w:rtl/>
          <w:lang w:bidi="fa-IR"/>
        </w:rPr>
        <w:t>در خصوص درخواست</w:t>
      </w:r>
      <w:r w:rsidR="00417911" w:rsidRPr="009C7B4B">
        <w:rPr>
          <w:rFonts w:cs="B Nazanin"/>
          <w:sz w:val="26"/>
          <w:szCs w:val="26"/>
          <w:rtl/>
          <w:lang w:bidi="fa-IR"/>
        </w:rPr>
        <w:softHyphen/>
      </w:r>
      <w:r w:rsidR="00417911" w:rsidRPr="009C7B4B">
        <w:rPr>
          <w:rFonts w:cs="B Nazanin" w:hint="cs"/>
          <w:sz w:val="26"/>
          <w:szCs w:val="26"/>
          <w:rtl/>
          <w:lang w:bidi="fa-IR"/>
        </w:rPr>
        <w:t>های اعضای هیأت علمی جهت استفاده از فضای در اختیار مدیریت پژوهش (در قالب کانکس) مقرر گردید:</w:t>
      </w:r>
    </w:p>
    <w:p w14:paraId="77A1BF5B" w14:textId="77777777" w:rsidR="00417911" w:rsidRPr="0013231B" w:rsidRDefault="00417911" w:rsidP="0013231B">
      <w:pPr>
        <w:bidi/>
        <w:spacing w:before="240" w:after="160" w:line="256" w:lineRule="auto"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الف) چنانچه این درخواست جهت انجام فعالیت پژوهشی در قالب طرح پژوهشی مبتنی بر گرنت، پایان نامه و پروژه، شرکت در مسابقه و... باشد، این درخواست پس از تصویب در شورای گروه و تأیید رییس دانشکده مربوطه، در شورای پژوهشی دانشگاه به منظور اولویت بندی درخواست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ها و تعیین مدت زمان استفاده مطرح و تأیید نهایی شود.</w:t>
      </w:r>
    </w:p>
    <w:p w14:paraId="410F090D" w14:textId="0E78E958" w:rsidR="00002B13" w:rsidRPr="0013231B" w:rsidRDefault="00417911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ب) درخواست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های تخصیص فضا به اعضای هیأت علمی جهت اجرای طرح پژوهشی تقاضامحور به سفارش دانشگاه یا کارفرمای بیرونی و یا برای استقرار  واحدهای فناور مرکز رشد و شرکت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های دانش بنیان اعضای هیأت علمی و یا دانشگاهی، در اولویت درجه بالاتر قرار گیرند. همچنین این درخواست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ها می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بایست به طور مستقیم توسط متقاضی به شورای پژوهش دانشگاه ارسال شوند.</w:t>
      </w:r>
    </w:p>
    <w:p w14:paraId="09069E6D" w14:textId="3E31FFBC" w:rsidR="00002B13" w:rsidRPr="0013231B" w:rsidRDefault="009C7B4B" w:rsidP="009C7B4B">
      <w:pPr>
        <w:bidi/>
        <w:ind w:left="-270"/>
        <w:jc w:val="both"/>
        <w:rPr>
          <w:rFonts w:cs="B Nazanin"/>
          <w:sz w:val="26"/>
          <w:szCs w:val="26"/>
          <w:rtl/>
          <w:lang w:bidi="fa-IR"/>
        </w:rPr>
      </w:pPr>
      <w:r w:rsidRPr="009C7B4B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4-</w:t>
      </w:r>
      <w:r w:rsidRPr="009C7B4B">
        <w:rPr>
          <w:rFonts w:cs="B Nazanin" w:hint="cs"/>
          <w:color w:val="C00000"/>
          <w:sz w:val="26"/>
          <w:szCs w:val="26"/>
          <w:rtl/>
          <w:lang w:bidi="fa-IR"/>
        </w:rPr>
        <w:t xml:space="preserve"> </w:t>
      </w:r>
      <w:r w:rsidR="00CC10D5" w:rsidRPr="0013231B">
        <w:rPr>
          <w:rFonts w:cs="B Nazanin" w:hint="cs"/>
          <w:sz w:val="26"/>
          <w:szCs w:val="26"/>
          <w:rtl/>
          <w:lang w:bidi="fa-IR"/>
        </w:rPr>
        <w:t>حق</w:t>
      </w:r>
      <w:r w:rsidR="00CC10D5" w:rsidRPr="0013231B">
        <w:rPr>
          <w:rFonts w:cs="B Nazanin"/>
          <w:sz w:val="26"/>
          <w:szCs w:val="26"/>
          <w:rtl/>
          <w:lang w:bidi="fa-IR"/>
        </w:rPr>
        <w:softHyphen/>
      </w:r>
      <w:r w:rsidR="00CC10D5" w:rsidRPr="0013231B">
        <w:rPr>
          <w:rFonts w:cs="B Nazanin" w:hint="cs"/>
          <w:sz w:val="26"/>
          <w:szCs w:val="26"/>
          <w:rtl/>
          <w:lang w:bidi="fa-IR"/>
        </w:rPr>
        <w:t>الزحمه داوری طرح</w:t>
      </w:r>
      <w:r w:rsidR="00CC10D5" w:rsidRPr="0013231B">
        <w:rPr>
          <w:rFonts w:cs="B Nazanin"/>
          <w:sz w:val="26"/>
          <w:szCs w:val="26"/>
          <w:rtl/>
          <w:lang w:bidi="fa-IR"/>
        </w:rPr>
        <w:softHyphen/>
      </w:r>
      <w:r w:rsidR="00CC10D5" w:rsidRPr="0013231B">
        <w:rPr>
          <w:rFonts w:cs="B Nazanin" w:hint="cs"/>
          <w:sz w:val="26"/>
          <w:szCs w:val="26"/>
          <w:rtl/>
          <w:lang w:bidi="fa-IR"/>
        </w:rPr>
        <w:t>های پژوهشی داخلی توسط داوران خارج از دانشگاه صنعتی کرمانشاه، با توجه به مرتبه علمی ایشان به صورت زیر تعیین می</w:t>
      </w:r>
      <w:r w:rsidR="00CC10D5" w:rsidRPr="0013231B">
        <w:rPr>
          <w:rFonts w:cs="B Nazanin"/>
          <w:sz w:val="26"/>
          <w:szCs w:val="26"/>
          <w:rtl/>
          <w:lang w:bidi="fa-IR"/>
        </w:rPr>
        <w:softHyphen/>
      </w:r>
      <w:r w:rsidR="00CC10D5" w:rsidRPr="0013231B">
        <w:rPr>
          <w:rFonts w:cs="B Nazanin" w:hint="cs"/>
          <w:sz w:val="26"/>
          <w:szCs w:val="26"/>
          <w:rtl/>
          <w:lang w:bidi="fa-IR"/>
        </w:rPr>
        <w:t>گردد:</w:t>
      </w:r>
    </w:p>
    <w:p w14:paraId="5DF86BA0" w14:textId="77777777" w:rsidR="00CC10D5" w:rsidRPr="0013231B" w:rsidRDefault="00CC10D5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استادیار:یک میلیون و پانصد هزار ریال</w:t>
      </w:r>
    </w:p>
    <w:p w14:paraId="1E45C387" w14:textId="77777777" w:rsidR="00CC10D5" w:rsidRPr="0013231B" w:rsidRDefault="00CC10D5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دانشیار:یک میلیون و هفتصد و پنجاه هزار ریال</w:t>
      </w:r>
    </w:p>
    <w:p w14:paraId="756AC2D1" w14:textId="77777777" w:rsidR="00CC10D5" w:rsidRPr="0013231B" w:rsidRDefault="00CC10D5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استاد : دو میلیون ریال</w:t>
      </w:r>
    </w:p>
    <w:p w14:paraId="1D7C77A4" w14:textId="4A0A719D" w:rsidR="00F034B6" w:rsidRPr="0013231B" w:rsidRDefault="00D72B89" w:rsidP="00D72B89">
      <w:pPr>
        <w:bidi/>
        <w:ind w:left="-270"/>
        <w:jc w:val="both"/>
        <w:rPr>
          <w:rFonts w:cs="B Nazanin"/>
          <w:sz w:val="26"/>
          <w:szCs w:val="26"/>
          <w:rtl/>
          <w:lang w:bidi="fa-IR"/>
        </w:rPr>
      </w:pPr>
      <w:r w:rsidRPr="00D72B89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5-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F034B6" w:rsidRPr="0013231B">
        <w:rPr>
          <w:rFonts w:cs="B Nazanin" w:hint="cs"/>
          <w:sz w:val="26"/>
          <w:szCs w:val="26"/>
          <w:rtl/>
          <w:lang w:bidi="fa-IR"/>
        </w:rPr>
        <w:t>با توجه به تبصره 3 آیین نامه فرصت مطالعاتی اعضای هیئت علمی در صنعت و جامعه موارد زیر به عنوان مصداق "تجربه کافی" مورد موافقت قرار گرفت:</w:t>
      </w:r>
    </w:p>
    <w:p w14:paraId="4B069DC7" w14:textId="2BCC905F" w:rsidR="00F034B6" w:rsidRPr="0013231B" w:rsidRDefault="00D72B89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الف) </w:t>
      </w:r>
      <w:r w:rsidR="00F034B6" w:rsidRPr="0013231B">
        <w:rPr>
          <w:rFonts w:cs="B Nazanin" w:hint="cs"/>
          <w:sz w:val="26"/>
          <w:szCs w:val="26"/>
          <w:rtl/>
          <w:lang w:bidi="fa-IR"/>
        </w:rPr>
        <w:t>حداقل 6 ماه سابقه کار همراه با بیمه در صنایع مرتبط با تخصص عضو هیآت علمی در دو سال منتهی به شروع همکاری با دانشگاه</w:t>
      </w:r>
    </w:p>
    <w:p w14:paraId="57DFB4E8" w14:textId="7CCBD02A" w:rsidR="00F034B6" w:rsidRDefault="00D72B89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ب) </w:t>
      </w:r>
      <w:r w:rsidR="00F034B6" w:rsidRPr="0013231B">
        <w:rPr>
          <w:rFonts w:cs="B Nazanin" w:hint="cs"/>
          <w:sz w:val="26"/>
          <w:szCs w:val="26"/>
          <w:rtl/>
          <w:lang w:bidi="fa-IR"/>
        </w:rPr>
        <w:t>انجام دو/یک طرح پژوهشی ( به عنوان مجری با مدت زمان حداقل 6 ماه) با کارفرمای خارج دانشگاه که رافع یکی از نیازها و مشکلات صنعت باشد به عنوان جایگزین فرصت مطالعاتی اعضای هیأت علمی پیمانی/رسمی آزمایشی</w:t>
      </w:r>
    </w:p>
    <w:p w14:paraId="31FDE294" w14:textId="2D023DD2" w:rsidR="00D72B89" w:rsidRPr="0013231B" w:rsidRDefault="00D72B89" w:rsidP="00D72B89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دو مورد فوق به عنوان جایگزین فرصت مطالعاتی اعضای هیئت علمی پیمانی/رسمی آزمایشی ارائه گردید.</w:t>
      </w:r>
    </w:p>
    <w:p w14:paraId="7EAE9EEF" w14:textId="0C143FB9" w:rsidR="006A7E63" w:rsidRPr="0013231B" w:rsidRDefault="006A7E63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00A94B4" w14:textId="246FAADA" w:rsidR="00812C68" w:rsidRPr="0013231B" w:rsidRDefault="00F25E0F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25E0F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lastRenderedPageBreak/>
        <w:t>6-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812C68" w:rsidRPr="0013231B">
        <w:rPr>
          <w:rFonts w:cs="B Nazanin" w:hint="cs"/>
          <w:sz w:val="26"/>
          <w:szCs w:val="26"/>
          <w:rtl/>
          <w:lang w:bidi="fa-IR"/>
        </w:rPr>
        <w:t>به کلیه اعضای هیئت علمی توصیه می گردد کلیه فعالیتهای پژوهشی آنها در راستای رشته و یا تخصص باشد.</w:t>
      </w:r>
    </w:p>
    <w:p w14:paraId="33BB7009" w14:textId="330025C6" w:rsidR="00AD0A45" w:rsidRPr="0013231B" w:rsidRDefault="00CF2926" w:rsidP="0013231B">
      <w:pPr>
        <w:bidi/>
        <w:spacing w:before="240" w:after="160" w:line="256" w:lineRule="auto"/>
        <w:jc w:val="both"/>
        <w:rPr>
          <w:rFonts w:cs="B Nazanin"/>
          <w:sz w:val="26"/>
          <w:szCs w:val="26"/>
          <w:rtl/>
          <w:lang w:bidi="fa-IR"/>
        </w:rPr>
      </w:pPr>
      <w:r w:rsidRPr="00CF2926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7-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AD0A45" w:rsidRPr="0013231B">
        <w:rPr>
          <w:rFonts w:cs="B Nazanin" w:hint="cs"/>
          <w:sz w:val="26"/>
          <w:szCs w:val="26"/>
          <w:rtl/>
          <w:lang w:bidi="fa-IR"/>
        </w:rPr>
        <w:t>در خصوص حمایت از ثبت اختراع اعضای محترم هیئت علمی تصمیمات ذیل مصوب گردید:</w:t>
      </w:r>
    </w:p>
    <w:p w14:paraId="38C5CAFB" w14:textId="77777777" w:rsidR="00AD0A45" w:rsidRPr="0013231B" w:rsidRDefault="00AD0A45" w:rsidP="0013231B">
      <w:pPr>
        <w:pStyle w:val="ListParagraph"/>
        <w:numPr>
          <w:ilvl w:val="0"/>
          <w:numId w:val="1"/>
        </w:numPr>
        <w:bidi/>
        <w:spacing w:before="240" w:after="160" w:line="256" w:lineRule="auto"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در صورتی که مورد ثبت اختراع به عنوان تعهد طرح پژوهشی باشد، جهت اخذ امتیاز پژوهشی و دریافت حمایت مالی از هزینه های ثبت اختراع از گرنت، مجری موظف است که 25 درصد از مالکیت اختراع را به دانشگاه واگذار نماید.</w:t>
      </w:r>
    </w:p>
    <w:p w14:paraId="1708E47D" w14:textId="77777777" w:rsidR="00AD0A45" w:rsidRPr="0013231B" w:rsidRDefault="00AD0A45" w:rsidP="0013231B">
      <w:pPr>
        <w:pStyle w:val="ListParagraph"/>
        <w:numPr>
          <w:ilvl w:val="0"/>
          <w:numId w:val="1"/>
        </w:numPr>
        <w:bidi/>
        <w:spacing w:before="240" w:after="160" w:line="256" w:lineRule="auto"/>
        <w:jc w:val="both"/>
        <w:rPr>
          <w:rFonts w:cs="B Nazanin"/>
          <w:sz w:val="26"/>
          <w:szCs w:val="26"/>
          <w:rtl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در صورتی که مورد ثبت اختراع مستخرج از طرح پژوهشی و یا پایان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نامه دانشجوی دانشگاه باشد، جهت اخذ امتیاز پژوهشی و دریافت حمایت مالی از هزینه های ثبت اختراع از گرنت، مجری موظف است که 20 درصد از مالکیت اختراع را به دانشگاه واگذار نماید.</w:t>
      </w:r>
    </w:p>
    <w:p w14:paraId="4B325910" w14:textId="0B1EA45B" w:rsidR="00AD0A45" w:rsidRPr="0013231B" w:rsidRDefault="00AD0A45" w:rsidP="0013231B">
      <w:pPr>
        <w:pStyle w:val="ListParagraph"/>
        <w:numPr>
          <w:ilvl w:val="0"/>
          <w:numId w:val="1"/>
        </w:numPr>
        <w:bidi/>
        <w:spacing w:before="240" w:after="160" w:line="256" w:lineRule="auto"/>
        <w:jc w:val="both"/>
        <w:rPr>
          <w:rFonts w:cs="B Nazanin"/>
          <w:sz w:val="26"/>
          <w:szCs w:val="26"/>
          <w:lang w:bidi="fa-IR"/>
        </w:rPr>
      </w:pPr>
      <w:r w:rsidRPr="0013231B">
        <w:rPr>
          <w:rFonts w:cs="B Nazanin" w:hint="cs"/>
          <w:sz w:val="26"/>
          <w:szCs w:val="26"/>
          <w:rtl/>
          <w:lang w:bidi="fa-IR"/>
        </w:rPr>
        <w:t>در صورتی که مورد ثبت اختراع غیر از دو بند فوق باشد، مجری جهت دریافت هزینه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های ثبت اختراع از گرنت مورد حمایت مالی قرار می</w:t>
      </w:r>
      <w:r w:rsidRPr="0013231B">
        <w:rPr>
          <w:rFonts w:cs="B Nazanin"/>
          <w:sz w:val="26"/>
          <w:szCs w:val="26"/>
          <w:rtl/>
          <w:lang w:bidi="fa-IR"/>
        </w:rPr>
        <w:softHyphen/>
      </w:r>
      <w:r w:rsidRPr="0013231B">
        <w:rPr>
          <w:rFonts w:cs="B Nazanin" w:hint="cs"/>
          <w:sz w:val="26"/>
          <w:szCs w:val="26"/>
          <w:rtl/>
          <w:lang w:bidi="fa-IR"/>
        </w:rPr>
        <w:t>گیرد اما چنانچه بخواهد امتیازات پژوهشی را اخذ نماید، موظف است که 20 درصد از مالکیت اختراع را به دانشگاه واگذار نماید</w:t>
      </w:r>
    </w:p>
    <w:p w14:paraId="1CEDB476" w14:textId="6630DA7F" w:rsidR="00B91EF1" w:rsidRPr="0013231B" w:rsidRDefault="00B91EF1" w:rsidP="0013231B">
      <w:pPr>
        <w:bidi/>
        <w:spacing w:before="240" w:after="160" w:line="256" w:lineRule="auto"/>
        <w:jc w:val="both"/>
        <w:rPr>
          <w:rFonts w:cs="B Nazanin"/>
          <w:sz w:val="26"/>
          <w:szCs w:val="26"/>
          <w:lang w:bidi="fa-IR"/>
        </w:rPr>
      </w:pPr>
    </w:p>
    <w:p w14:paraId="213EB83E" w14:textId="2DC15D20" w:rsidR="00B91EF1" w:rsidRPr="0013231B" w:rsidRDefault="00CF2926" w:rsidP="0013231B">
      <w:pPr>
        <w:bidi/>
        <w:spacing w:before="240" w:after="160" w:line="256" w:lineRule="auto"/>
        <w:jc w:val="both"/>
        <w:rPr>
          <w:rFonts w:cs="B Nazanin"/>
          <w:sz w:val="26"/>
          <w:szCs w:val="26"/>
          <w:rtl/>
          <w:lang w:bidi="fa-IR"/>
        </w:rPr>
      </w:pPr>
      <w:r w:rsidRPr="00CF2926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8-</w:t>
      </w:r>
      <w:r w:rsidRPr="00CF2926">
        <w:rPr>
          <w:rFonts w:cs="B Nazanin" w:hint="cs"/>
          <w:color w:val="C00000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قویاً پیشنهاد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گردد  که </w:t>
      </w:r>
      <w:r w:rsidR="00B91EF1" w:rsidRPr="0013231B">
        <w:rPr>
          <w:rFonts w:cs="B Nazanin" w:hint="cs"/>
          <w:sz w:val="26"/>
          <w:szCs w:val="26"/>
          <w:rtl/>
          <w:lang w:bidi="fa-IR"/>
        </w:rPr>
        <w:t xml:space="preserve">مقالات در مجلات </w:t>
      </w:r>
      <w:r w:rsidR="00B91EF1" w:rsidRPr="0013231B">
        <w:rPr>
          <w:rFonts w:cs="B Nazanin"/>
          <w:sz w:val="26"/>
          <w:szCs w:val="26"/>
          <w:lang w:bidi="fa-IR"/>
        </w:rPr>
        <w:t xml:space="preserve"> open access</w:t>
      </w:r>
      <w:r w:rsidR="00B91EF1" w:rsidRPr="0013231B">
        <w:rPr>
          <w:rFonts w:cs="B Nazanin" w:hint="cs"/>
          <w:sz w:val="26"/>
          <w:szCs w:val="26"/>
          <w:rtl/>
          <w:lang w:bidi="fa-IR"/>
        </w:rPr>
        <w:t>چاپ نگردد.</w:t>
      </w:r>
    </w:p>
    <w:p w14:paraId="42157815" w14:textId="31FAFF7B" w:rsidR="001E7ADC" w:rsidRPr="0013231B" w:rsidRDefault="001E7ADC" w:rsidP="0013231B">
      <w:pPr>
        <w:bidi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sectPr w:rsidR="001E7ADC" w:rsidRPr="0013231B" w:rsidSect="0013231B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209C"/>
    <w:multiLevelType w:val="hybridMultilevel"/>
    <w:tmpl w:val="7D00ECBC"/>
    <w:lvl w:ilvl="0" w:tplc="A3F2E25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1071"/>
    <w:multiLevelType w:val="hybridMultilevel"/>
    <w:tmpl w:val="6D8C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F6"/>
    <w:rsid w:val="00002B13"/>
    <w:rsid w:val="00076968"/>
    <w:rsid w:val="00095165"/>
    <w:rsid w:val="000B5BB4"/>
    <w:rsid w:val="0010101E"/>
    <w:rsid w:val="0013231B"/>
    <w:rsid w:val="001331C7"/>
    <w:rsid w:val="00145D9F"/>
    <w:rsid w:val="00186E23"/>
    <w:rsid w:val="001D4753"/>
    <w:rsid w:val="001E7ADC"/>
    <w:rsid w:val="00272EE5"/>
    <w:rsid w:val="002879B1"/>
    <w:rsid w:val="00363E4B"/>
    <w:rsid w:val="00417911"/>
    <w:rsid w:val="004324FF"/>
    <w:rsid w:val="004B2BC0"/>
    <w:rsid w:val="004D7056"/>
    <w:rsid w:val="006872A5"/>
    <w:rsid w:val="006A7E63"/>
    <w:rsid w:val="00747C73"/>
    <w:rsid w:val="007C08F6"/>
    <w:rsid w:val="007D3DC7"/>
    <w:rsid w:val="007F4683"/>
    <w:rsid w:val="00812C68"/>
    <w:rsid w:val="008E7D2B"/>
    <w:rsid w:val="009829F9"/>
    <w:rsid w:val="009A33F9"/>
    <w:rsid w:val="009C3092"/>
    <w:rsid w:val="009C7B4B"/>
    <w:rsid w:val="009D1F5C"/>
    <w:rsid w:val="00A00D6A"/>
    <w:rsid w:val="00A56FCE"/>
    <w:rsid w:val="00A617DA"/>
    <w:rsid w:val="00A638DE"/>
    <w:rsid w:val="00AD0A45"/>
    <w:rsid w:val="00AD3C79"/>
    <w:rsid w:val="00B13CF6"/>
    <w:rsid w:val="00B875C3"/>
    <w:rsid w:val="00B91EF1"/>
    <w:rsid w:val="00B97A06"/>
    <w:rsid w:val="00BB22C3"/>
    <w:rsid w:val="00BF3483"/>
    <w:rsid w:val="00C0532A"/>
    <w:rsid w:val="00C144E6"/>
    <w:rsid w:val="00CC10D5"/>
    <w:rsid w:val="00CF2926"/>
    <w:rsid w:val="00D72B89"/>
    <w:rsid w:val="00D7786E"/>
    <w:rsid w:val="00DE7AAD"/>
    <w:rsid w:val="00E42E81"/>
    <w:rsid w:val="00EA67DC"/>
    <w:rsid w:val="00F034B6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C2FD"/>
  <w15:docId w15:val="{7F1B9A77-0D8B-4826-B195-431FAF83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C7"/>
  </w:style>
  <w:style w:type="paragraph" w:styleId="Heading1">
    <w:name w:val="heading 1"/>
    <w:basedOn w:val="Normal"/>
    <w:next w:val="Normal"/>
    <w:link w:val="Heading1Char"/>
    <w:uiPriority w:val="9"/>
    <w:qFormat/>
    <w:rsid w:val="007D3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3D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D3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D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3D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1378-1A8C-4A27-8245-264808E3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Yousefyan</cp:lastModifiedBy>
  <cp:revision>17</cp:revision>
  <cp:lastPrinted>2020-02-02T05:31:00Z</cp:lastPrinted>
  <dcterms:created xsi:type="dcterms:W3CDTF">2020-01-25T20:19:00Z</dcterms:created>
  <dcterms:modified xsi:type="dcterms:W3CDTF">2020-02-02T09:58:00Z</dcterms:modified>
</cp:coreProperties>
</file>